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40" w:lineRule="auto"/>
        <w:jc w:val="left"/>
      </w:pPr>
      <w:r>
        <w:rPr>
          <w:rFonts w:ascii="Times New Roman" w:cs="Times New Roman" w:eastAsia="Times New Roman" w:hAnsi="Times New Roman"/>
          <w:b/>
          <w:bCs/>
          <w:i w:val="false"/>
          <w:iCs w:val="false"/>
          <w:caps/>
          <w:sz w:val="20"/>
          <w:szCs w:val="20"/>
        </w:rPr>
        <w:t xml:space="preserve">PRESS CONTACT</w:t>
      </w:r>
    </w:p>
    <w:p>
      <w:pPr>
        <w:spacing w:after="20" w:before="0" w:line="240" w:lineRule="auto"/>
        <w:jc w:val="left"/>
      </w:pPr>
      <w:r>
        <w:rPr>
          <w:rFonts w:ascii="Times New Roman" w:cs="Times New Roman" w:eastAsia="Times New Roman" w:hAnsi="Times New Roman"/>
          <w:b w:val="false"/>
          <w:bCs w:val="false"/>
          <w:i w:val="false"/>
          <w:iCs w:val="false"/>
          <w:caps w:val="false"/>
          <w:sz w:val="20"/>
          <w:szCs w:val="20"/>
        </w:rPr>
        <w:t xml:space="preserve">Stephen E. Dinehart IV</w:t>
      </w:r>
    </w:p>
    <w:p>
      <w:pPr>
        <w:spacing w:after="20" w:before="0" w:line="240" w:lineRule="auto"/>
        <w:jc w:val="left"/>
      </w:pPr>
      <w:r>
        <w:rPr>
          <w:rFonts w:ascii="Times New Roman" w:cs="Times New Roman" w:eastAsia="Times New Roman" w:hAnsi="Times New Roman"/>
          <w:b w:val="false"/>
          <w:bCs w:val="false"/>
          <w:i w:val="false"/>
          <w:iCs w:val="false"/>
          <w:caps w:val="false"/>
          <w:sz w:val="20"/>
          <w:szCs w:val="20"/>
        </w:rPr>
        <w:t xml:space="preserve">press@emperorofthecherokee.com</w:t>
      </w:r>
    </w:p>
    <w:p>
      <w:pPr>
        <w:spacing w:after="20" w:before="0" w:line="240" w:lineRule="auto"/>
        <w:jc w:val="left"/>
      </w:pPr>
      <w:r>
        <w:rPr>
          <w:rFonts w:ascii="Times New Roman" w:cs="Times New Roman" w:eastAsia="Times New Roman" w:hAnsi="Times New Roman"/>
          <w:b w:val="false"/>
          <w:bCs w:val="false"/>
          <w:i w:val="false"/>
          <w:iCs w:val="false"/>
          <w:caps w:val="false"/>
          <w:sz w:val="20"/>
          <w:szCs w:val="20"/>
        </w:rPr>
        <w:t xml:space="preserve">emperorofthecherokee.com</w:t>
      </w:r>
    </w:p>
    <w:p>
      <w:pPr>
        <w:spacing w:after="200" w:before="0" w:line="240" w:lineRule="auto"/>
        <w:jc w:val="left"/>
      </w:pPr>
      <w:r>
        <w:rPr>
          <w:rFonts w:ascii="Times New Roman" w:cs="Times New Roman" w:eastAsia="Times New Roman" w:hAnsi="Times New Roman"/>
          <w:b w:val="false"/>
          <w:bCs w:val="false"/>
          <w:i/>
          <w:iCs/>
          <w:caps w:val="false"/>
          <w:sz w:val="20"/>
          <w:szCs w:val="20"/>
        </w:rPr>
        <w:t xml:space="preserve">Review copies, interviews, and hi-res cover art available on request.</w:t>
      </w:r>
    </w:p>
    <w:p>
      <w:pPr>
        <w:pBdr>
          <w:bottom w:val="single" w:color="000000" w:sz="4" w:space="2"/>
        </w:pBdr>
        <w:spacing w:after="160" w:before="40"/>
      </w:pPr>
    </w:p>
    <w:p>
      <w:pPr>
        <w:spacing w:after="40" w:before="0" w:line="240" w:lineRule="auto"/>
        <w:jc w:val="left"/>
      </w:pPr>
      <w:r>
        <w:rPr>
          <w:rFonts w:ascii="Times New Roman" w:cs="Times New Roman" w:eastAsia="Times New Roman" w:hAnsi="Times New Roman"/>
          <w:b/>
          <w:bCs/>
          <w:i w:val="false"/>
          <w:iCs w:val="false"/>
          <w:caps/>
          <w:sz w:val="20"/>
          <w:szCs w:val="20"/>
        </w:rPr>
        <w:t xml:space="preserve">FOR IMMEDIATE RELEASE</w:t>
      </w:r>
    </w:p>
    <w:p>
      <w:pPr>
        <w:spacing w:after="240" w:before="0" w:line="240" w:lineRule="auto"/>
        <w:jc w:val="left"/>
      </w:pPr>
      <w:r>
        <w:rPr>
          <w:rFonts w:ascii="Times New Roman" w:cs="Times New Roman" w:eastAsia="Times New Roman" w:hAnsi="Times New Roman"/>
          <w:b w:val="false"/>
          <w:bCs w:val="false"/>
          <w:i/>
          <w:iCs/>
          <w:caps w:val="false"/>
          <w:sz w:val="20"/>
          <w:szCs w:val="20"/>
        </w:rPr>
        <w:t xml:space="preserve">April 3, 2026</w:t>
      </w:r>
    </w:p>
    <w:p>
      <w:pPr>
        <w:spacing w:after="80" w:before="0" w:line="240" w:lineRule="auto"/>
        <w:jc w:val="center"/>
      </w:pPr>
      <w:r>
        <w:rPr>
          <w:rFonts w:ascii="Times New Roman" w:cs="Times New Roman" w:eastAsia="Times New Roman" w:hAnsi="Times New Roman"/>
          <w:b/>
          <w:bCs/>
          <w:i w:val="false"/>
          <w:iCs w:val="false"/>
          <w:caps w:val="false"/>
          <w:sz w:val="36"/>
          <w:szCs w:val="36"/>
        </w:rPr>
        <w:t xml:space="preserve">Emperor of the Cherokee</w:t>
      </w:r>
    </w:p>
    <w:p>
      <w:pPr>
        <w:spacing w:after="80" w:before="0" w:line="240" w:lineRule="auto"/>
        <w:jc w:val="center"/>
      </w:pPr>
      <w:r>
        <w:rPr>
          <w:rFonts w:ascii="Times New Roman" w:cs="Times New Roman" w:eastAsia="Times New Roman" w:hAnsi="Times New Roman"/>
          <w:b w:val="false"/>
          <w:bCs w:val="false"/>
          <w:i/>
          <w:iCs/>
          <w:caps w:val="false"/>
          <w:sz w:val="24"/>
          <w:szCs w:val="24"/>
        </w:rPr>
        <w:t xml:space="preserve">A novel by Stephen E. Dinehart IV</w:t>
      </w:r>
    </w:p>
    <w:p>
      <w:pPr>
        <w:spacing w:after="280" w:before="0" w:line="240" w:lineRule="auto"/>
        <w:jc w:val="center"/>
      </w:pPr>
      <w:r>
        <w:rPr>
          <w:rFonts w:ascii="Times New Roman" w:cs="Times New Roman" w:eastAsia="Times New Roman" w:hAnsi="Times New Roman"/>
          <w:b w:val="false"/>
          <w:bCs w:val="false"/>
          <w:i w:val="false"/>
          <w:iCs w:val="false"/>
          <w:caps w:val="false"/>
          <w:sz w:val="20"/>
          <w:szCs w:val="20"/>
        </w:rPr>
        <w:t xml:space="preserve">Publishes April 3, 2026  ·  Trade Paperback &amp; eBook  ·  KDP / Wonderfilled Inc.</w:t>
      </w:r>
    </w:p>
    <w:p>
      <w:pPr>
        <w:spacing w:after="80" w:before="200" w:line="240" w:lineRule="auto"/>
        <w:jc w:val="center"/>
      </w:pPr>
      <w:r>
        <w:rPr>
          <w:rFonts w:ascii="Times New Roman" w:cs="Times New Roman" w:eastAsia="Times New Roman" w:hAnsi="Times New Roman"/>
          <w:b w:val="false"/>
          <w:bCs w:val="false"/>
          <w:i/>
          <w:iCs/>
          <w:caps w:val="false"/>
          <w:sz w:val="22"/>
          <w:szCs w:val="22"/>
        </w:rPr>
        <w:t xml:space="preserve">A Cherokee descendant’s epic novel about the emperor his ancestor was, published the same spring a sacred mound is returned to his people after 200 years.</w:t>
      </w:r>
    </w:p>
    <w:p>
      <w:pPr>
        <w:spacing w:after="200" w:before="0" w:line="240" w:lineRule="auto"/>
        <w:jc w:val="center"/>
      </w:pPr>
      <w:r>
        <w:rPr>
          <w:rFonts w:ascii="Times New Roman" w:cs="Times New Roman" w:eastAsia="Times New Roman" w:hAnsi="Times New Roman"/>
          <w:b w:val="false"/>
          <w:bCs w:val="false"/>
          <w:i/>
          <w:iCs/>
          <w:caps w:val="false"/>
          <w:sz w:val="20"/>
          <w:szCs w:val="20"/>
        </w:rPr>
        <w:t xml:space="preserve">An epic in four voices spanning 1687 to 1979, from Moytoy II’s crowning as Emperor of the Cherokee to the TVA flood that buried his grave under sixty feet of water.</w:t>
      </w:r>
    </w:p>
    <w:p>
      <w:pPr>
        <w:pBdr>
          <w:bottom w:val="single" w:color="000000" w:sz="4" w:space="2"/>
        </w:pBdr>
        <w:spacing w:after="160" w:before="40"/>
      </w:pPr>
    </w:p>
    <w:p>
      <w:pPr>
        <w:pBdr>
          <w:bottom w:val="single" w:color="999999" w:sz="2" w:space="2"/>
        </w:pBdr>
        <w:spacing w:after="120" w:before="240"/>
      </w:pPr>
      <w:r>
        <w:rPr>
          <w:rFonts w:ascii="Times New Roman" w:cs="Times New Roman" w:eastAsia="Times New Roman" w:hAnsi="Times New Roman"/>
          <w:b/>
          <w:bCs/>
          <w:i w:val="false"/>
          <w:iCs w:val="false"/>
          <w:caps/>
          <w:sz w:val="20"/>
          <w:szCs w:val="20"/>
        </w:rPr>
        <w:t xml:space="preserve">Why This Story, Why Now</w:t>
      </w:r>
    </w:p>
    <w:p>
      <w:pPr>
        <w:spacing w:after="160" w:before="0" w:line="240" w:lineRule="auto"/>
        <w:jc w:val="left"/>
      </w:pPr>
      <w:r>
        <w:rPr>
          <w:rFonts w:ascii="Times New Roman" w:cs="Times New Roman" w:eastAsia="Times New Roman" w:hAnsi="Times New Roman"/>
          <w:b w:val="false"/>
          <w:bCs w:val="false"/>
          <w:i w:val="false"/>
          <w:iCs w:val="false"/>
          <w:caps w:val="false"/>
          <w:sz w:val="22"/>
          <w:szCs w:val="22"/>
        </w:rPr>
        <w:t xml:space="preserve">On February 26, 2026, the Eastern Band of Cherokee Indians signed the deed returning Noquisiyi Mound (the sacred site where Moytoy of Tellico was crowned Emperor of the Cherokee nearly three centuries ago) back to the Cherokee people after more than 200 years. Weeks later, a novel arrives that begins at that exact moment, traces the empire forward through the TVA’s Tellico Dam flood that submerged Moytoy’s grave under sixty feet of water, and ends with a government file marked CLOSED. That file just reopened.</w:t>
      </w:r>
    </w:p>
    <w:p>
      <w:pPr>
        <w:pBdr>
          <w:bottom w:val="single" w:color="999999" w:sz="2" w:space="2"/>
        </w:pBdr>
        <w:spacing w:after="120" w:before="240"/>
      </w:pPr>
      <w:r>
        <w:rPr>
          <w:rFonts w:ascii="Times New Roman" w:cs="Times New Roman" w:eastAsia="Times New Roman" w:hAnsi="Times New Roman"/>
          <w:b/>
          <w:bCs/>
          <w:i w:val="false"/>
          <w:iCs w:val="false"/>
          <w:caps/>
          <w:sz w:val="20"/>
          <w:szCs w:val="20"/>
        </w:rPr>
        <w:t xml:space="preserve">About the Book</w:t>
      </w:r>
    </w:p>
    <w:p>
      <w:pPr>
        <w:spacing w:after="120" w:before="0" w:line="240" w:lineRule="auto"/>
        <w:jc w:val="left"/>
      </w:pPr>
      <w:r>
        <w:rPr>
          <w:rFonts w:ascii="Times New Roman" w:cs="Times New Roman" w:eastAsia="Times New Roman" w:hAnsi="Times New Roman"/>
          <w:b w:val="false"/>
          <w:bCs w:val="false"/>
          <w:i/>
          <w:iCs/>
          <w:caps w:val="false"/>
          <w:sz w:val="22"/>
          <w:szCs w:val="22"/>
        </w:rPr>
        <w:t xml:space="preserve">Emperor of the Cherokee</w:t>
      </w:r>
      <w:r>
        <w:rPr>
          <w:rFonts w:ascii="Times New Roman" w:cs="Times New Roman" w:eastAsia="Times New Roman" w:hAnsi="Times New Roman"/>
          <w:b w:val="false"/>
          <w:bCs w:val="false"/>
          <w:i w:val="false"/>
          <w:iCs w:val="false"/>
          <w:caps w:val="false"/>
          <w:sz w:val="22"/>
          <w:szCs w:val="22"/>
        </w:rPr>
        <w:t xml:space="preserve"> is an epic historical novel spanning 1687 to 1979: from the childhood of Amatoya Moytoy of Tellico through his crowning as the first Emperor of the Cherokee at Niquassee in 1730, across the wars and diplomacy that defined the Cherokee Overhill towns, and forward to the moment the TVA’s Tellico Dam floods those same towns, submerging Moytoy’s grave under sixty feet of reservoir water. The last chapter is a government file marked CLOSED.</w:t>
      </w:r>
    </w:p>
    <w:p>
      <w:pPr>
        <w:spacing w:after="160" w:before="0" w:line="240" w:lineRule="auto"/>
        <w:jc w:val="left"/>
      </w:pPr>
      <w:r>
        <w:rPr>
          <w:rFonts w:ascii="Times New Roman" w:cs="Times New Roman" w:eastAsia="Times New Roman" w:hAnsi="Times New Roman"/>
          <w:b w:val="false"/>
          <w:bCs w:val="false"/>
          <w:i w:val="false"/>
          <w:iCs w:val="false"/>
          <w:caps w:val="false"/>
          <w:sz w:val="22"/>
          <w:szCs w:val="22"/>
        </w:rPr>
        <w:t xml:space="preserve">The novel is constructed in four narrative voices: </w:t>
      </w:r>
      <w:r>
        <w:rPr>
          <w:rFonts w:ascii="Times New Roman" w:cs="Times New Roman" w:eastAsia="Times New Roman" w:hAnsi="Times New Roman"/>
          <w:b w:val="false"/>
          <w:bCs w:val="false"/>
          <w:i/>
          <w:iCs/>
          <w:caps w:val="false"/>
          <w:sz w:val="22"/>
          <w:szCs w:val="22"/>
        </w:rPr>
        <w:t xml:space="preserve">Testimony</w:t>
      </w:r>
      <w:r>
        <w:rPr>
          <w:rFonts w:ascii="Times New Roman" w:cs="Times New Roman" w:eastAsia="Times New Roman" w:hAnsi="Times New Roman"/>
          <w:b w:val="false"/>
          <w:bCs w:val="false"/>
          <w:i w:val="false"/>
          <w:iCs w:val="false"/>
          <w:caps w:val="false"/>
          <w:sz w:val="22"/>
          <w:szCs w:val="22"/>
        </w:rPr>
        <w:t xml:space="preserve"> (first-person witness accounts), </w:t>
      </w:r>
      <w:r>
        <w:rPr>
          <w:rFonts w:ascii="Times New Roman" w:cs="Times New Roman" w:eastAsia="Times New Roman" w:hAnsi="Times New Roman"/>
          <w:b w:val="false"/>
          <w:bCs w:val="false"/>
          <w:i/>
          <w:iCs/>
          <w:caps w:val="false"/>
          <w:sz w:val="22"/>
          <w:szCs w:val="22"/>
        </w:rPr>
        <w:t xml:space="preserve">Witness</w:t>
      </w:r>
      <w:r>
        <w:rPr>
          <w:rFonts w:ascii="Times New Roman" w:cs="Times New Roman" w:eastAsia="Times New Roman" w:hAnsi="Times New Roman"/>
          <w:b w:val="false"/>
          <w:bCs w:val="false"/>
          <w:i w:val="false"/>
          <w:iCs w:val="false"/>
          <w:caps w:val="false"/>
          <w:sz w:val="22"/>
          <w:szCs w:val="22"/>
        </w:rPr>
        <w:t xml:space="preserve"> (close third-person present tense), </w:t>
      </w:r>
      <w:r>
        <w:rPr>
          <w:rFonts w:ascii="Times New Roman" w:cs="Times New Roman" w:eastAsia="Times New Roman" w:hAnsi="Times New Roman"/>
          <w:b w:val="false"/>
          <w:bCs w:val="false"/>
          <w:i/>
          <w:iCs/>
          <w:caps w:val="false"/>
          <w:sz w:val="22"/>
          <w:szCs w:val="22"/>
        </w:rPr>
        <w:t xml:space="preserve">Record</w:t>
      </w:r>
      <w:r>
        <w:rPr>
          <w:rFonts w:ascii="Times New Roman" w:cs="Times New Roman" w:eastAsia="Times New Roman" w:hAnsi="Times New Roman"/>
          <w:b w:val="false"/>
          <w:bCs w:val="false"/>
          <w:i w:val="false"/>
          <w:iCs w:val="false"/>
          <w:caps w:val="false"/>
          <w:sz w:val="22"/>
          <w:szCs w:val="22"/>
        </w:rPr>
        <w:t xml:space="preserve"> (official colonial and federal documents rendered as fiction), and </w:t>
      </w:r>
      <w:r>
        <w:rPr>
          <w:rFonts w:ascii="Times New Roman" w:cs="Times New Roman" w:eastAsia="Times New Roman" w:hAnsi="Times New Roman"/>
          <w:b w:val="false"/>
          <w:bCs w:val="false"/>
          <w:i/>
          <w:iCs/>
          <w:caps w:val="false"/>
          <w:sz w:val="22"/>
          <w:szCs w:val="22"/>
        </w:rPr>
        <w:t xml:space="preserve">Reflection</w:t>
      </w:r>
      <w:r>
        <w:rPr>
          <w:rFonts w:ascii="Times New Roman" w:cs="Times New Roman" w:eastAsia="Times New Roman" w:hAnsi="Times New Roman"/>
          <w:b w:val="false"/>
          <w:bCs w:val="false"/>
          <w:i w:val="false"/>
          <w:iCs w:val="false"/>
          <w:caps w:val="false"/>
          <w:sz w:val="22"/>
          <w:szCs w:val="22"/>
        </w:rPr>
        <w:t xml:space="preserve"> (lyrical interludes that speak across centuries). Together they recreate a world that has been systematically erased from the American historical record.</w:t>
      </w:r>
    </w:p>
    <w:p>
      <w:pPr>
        <w:pBdr>
          <w:left w:val="single" w:color="AAAAAA" w:sz="4" w:space="12"/>
        </w:pBdr>
        <w:spacing w:after="120" w:before="120"/>
        <w:ind w:left="720" w:right="720"/>
      </w:pPr>
      <w:r>
        <w:rPr>
          <w:rFonts w:ascii="Times New Roman" w:cs="Times New Roman" w:eastAsia="Times New Roman" w:hAnsi="Times New Roman"/>
          <w:b w:val="false"/>
          <w:bCs w:val="false"/>
          <w:i/>
          <w:iCs/>
          <w:caps w:val="false"/>
          <w:sz w:val="20"/>
          <w:szCs w:val="20"/>
        </w:rPr>
        <w:t xml:space="preserve">“I didn’t choose to be Red. It is who I am.”  – Stephen E. Dinehart IV</w:t>
      </w:r>
    </w:p>
    <w:p>
      <w:pPr>
        <w:spacing w:after="0" w:before="0"/>
      </w:pPr>
    </w:p>
    <w:p>
      <w:pPr>
        <w:pBdr>
          <w:bottom w:val="single" w:color="999999" w:sz="2" w:space="2"/>
        </w:pBdr>
        <w:spacing w:after="120" w:before="240"/>
      </w:pPr>
      <w:r>
        <w:rPr>
          <w:rFonts w:ascii="Times New Roman" w:cs="Times New Roman" w:eastAsia="Times New Roman" w:hAnsi="Times New Roman"/>
          <w:b/>
          <w:bCs/>
          <w:i w:val="false"/>
          <w:iCs w:val="false"/>
          <w:caps/>
          <w:sz w:val="20"/>
          <w:szCs w:val="20"/>
        </w:rPr>
        <w:t xml:space="preserve">The Arc: 1687–2026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8280"/>
      </w:tblGrid>
      <w:tr>
        <w:tc>
          <w:tcPr>
            <w:tcW w:type="dxa" w:w="1080"/>
            <w:tcBorders>
              <w:top w:val="single" w:color="CCCCCC" w:sz="2"/>
              <w:left w:val="none" w:color="FFFFFF" w:sz="0"/>
              <w:bottom w:val="single" w:color="CCCCCC" w:sz="2"/>
              <w:right w:val="none" w:color="FFFFFF" w:sz="0"/>
            </w:tcBorders>
            <w:tcMar>
              <w:top w:type="dxa" w:w="60"/>
              <w:left w:type="dxa" w:w="0"/>
              <w:bottom w:type="dxa" w:w="60"/>
              <w:right w:type="dxa" w:w="120"/>
            </w:tcMar>
          </w:tcPr>
          <w:p>
            <w:pPr>
              <w:spacing w:after="0" w:before="0"/>
            </w:pPr>
            <w:r>
              <w:rPr>
                <w:rFonts w:ascii="Times New Roman" w:cs="Times New Roman" w:eastAsia="Times New Roman" w:hAnsi="Times New Roman"/>
                <w:b/>
                <w:bCs/>
                <w:i w:val="false"/>
                <w:iCs w:val="false"/>
                <w:caps w:val="false"/>
                <w:sz w:val="20"/>
                <w:szCs w:val="20"/>
              </w:rPr>
              <w:t xml:space="preserve">1687</w:t>
            </w:r>
          </w:p>
        </w:tc>
        <w:tc>
          <w:tcPr>
            <w:tcW w:type="dxa" w:w="8280"/>
            <w:tcBorders>
              <w:top w:val="single" w:color="CCCCCC" w:sz="2"/>
              <w:left w:val="none" w:color="FFFFFF" w:sz="0"/>
              <w:bottom w:val="single" w:color="CCCCCC" w:sz="2"/>
              <w:right w:val="none" w:color="FFFFFF" w:sz="0"/>
            </w:tcBorders>
            <w:tcMar>
              <w:top w:type="dxa" w:w="60"/>
              <w:left w:type="dxa" w:w="0"/>
              <w:bottom w:type="dxa" w:w="60"/>
              <w:right w:type="dxa" w:w="0"/>
            </w:tcMar>
          </w:tcPr>
          <w:p>
            <w:pPr>
              <w:spacing w:after="0" w:before="0"/>
            </w:pPr>
            <w:r>
              <w:rPr>
                <w:rFonts w:ascii="Times New Roman" w:cs="Times New Roman" w:eastAsia="Times New Roman" w:hAnsi="Times New Roman"/>
                <w:b w:val="false"/>
                <w:bCs w:val="false"/>
                <w:i w:val="false"/>
                <w:iCs w:val="false"/>
                <w:caps w:val="false"/>
                <w:sz w:val="20"/>
                <w:szCs w:val="20"/>
              </w:rPr>
              <w:t xml:space="preserve">Moytoy II born in the Cherokee Overhill towns near present-day Tellico, Tennessee</w:t>
            </w:r>
          </w:p>
        </w:tc>
      </w:tr>
      <w:tr>
        <w:tc>
          <w:tcPr>
            <w:tcW w:type="dxa" w:w="1080"/>
            <w:tcBorders>
              <w:top w:val="none" w:color="CCCCCC" w:sz="2"/>
              <w:left w:val="none" w:color="FFFFFF" w:sz="0"/>
              <w:bottom w:val="single" w:color="CCCCCC" w:sz="2"/>
              <w:right w:val="none" w:color="FFFFFF" w:sz="0"/>
            </w:tcBorders>
            <w:tcMar>
              <w:top w:type="dxa" w:w="60"/>
              <w:left w:type="dxa" w:w="0"/>
              <w:bottom w:type="dxa" w:w="60"/>
              <w:right w:type="dxa" w:w="120"/>
            </w:tcMar>
          </w:tcPr>
          <w:p>
            <w:pPr>
              <w:spacing w:after="0" w:before="0"/>
            </w:pPr>
            <w:r>
              <w:rPr>
                <w:rFonts w:ascii="Times New Roman" w:cs="Times New Roman" w:eastAsia="Times New Roman" w:hAnsi="Times New Roman"/>
                <w:b/>
                <w:bCs/>
                <w:i w:val="false"/>
                <w:iCs w:val="false"/>
                <w:caps w:val="false"/>
                <w:sz w:val="20"/>
                <w:szCs w:val="20"/>
              </w:rPr>
              <w:t xml:space="preserve">1730</w:t>
            </w:r>
          </w:p>
        </w:tc>
        <w:tc>
          <w:tcPr>
            <w:tcW w:type="dxa" w:w="8280"/>
            <w:tcBorders>
              <w:top w:val="none" w:color="CCCCCC" w:sz="2"/>
              <w:left w:val="none" w:color="FFFFFF" w:sz="0"/>
              <w:bottom w:val="single" w:color="CCCCCC" w:sz="2"/>
              <w:right w:val="none" w:color="FFFFFF" w:sz="0"/>
            </w:tcBorders>
            <w:tcMar>
              <w:top w:type="dxa" w:w="60"/>
              <w:left w:type="dxa" w:w="0"/>
              <w:bottom w:type="dxa" w:w="60"/>
              <w:right w:type="dxa" w:w="0"/>
            </w:tcMar>
          </w:tcPr>
          <w:p>
            <w:pPr>
              <w:spacing w:after="0" w:before="0"/>
            </w:pPr>
            <w:r>
              <w:rPr>
                <w:rFonts w:ascii="Times New Roman" w:cs="Times New Roman" w:eastAsia="Times New Roman" w:hAnsi="Times New Roman"/>
                <w:b w:val="false"/>
                <w:bCs w:val="false"/>
                <w:i w:val="false"/>
                <w:iCs w:val="false"/>
                <w:caps w:val="false"/>
                <w:sz w:val="20"/>
                <w:szCs w:val="20"/>
              </w:rPr>
              <w:t xml:space="preserve">Sir Alexander Cuming orchestrates the crowning of Moytoy as Emperor of the Cherokee at Niquassee, a ceremony whose meaning the Cherokee and the British understood very differently</w:t>
            </w:r>
          </w:p>
        </w:tc>
      </w:tr>
      <w:tr>
        <w:tc>
          <w:tcPr>
            <w:tcW w:type="dxa" w:w="1080"/>
            <w:tcBorders>
              <w:top w:val="none" w:color="CCCCCC" w:sz="2"/>
              <w:left w:val="none" w:color="FFFFFF" w:sz="0"/>
              <w:bottom w:val="single" w:color="CCCCCC" w:sz="2"/>
              <w:right w:val="none" w:color="FFFFFF" w:sz="0"/>
            </w:tcBorders>
            <w:tcMar>
              <w:top w:type="dxa" w:w="60"/>
              <w:left w:type="dxa" w:w="0"/>
              <w:bottom w:type="dxa" w:w="60"/>
              <w:right w:type="dxa" w:w="120"/>
            </w:tcMar>
          </w:tcPr>
          <w:p>
            <w:pPr>
              <w:spacing w:after="0" w:before="0"/>
            </w:pPr>
            <w:r>
              <w:rPr>
                <w:rFonts w:ascii="Times New Roman" w:cs="Times New Roman" w:eastAsia="Times New Roman" w:hAnsi="Times New Roman"/>
                <w:b/>
                <w:bCs/>
                <w:i w:val="false"/>
                <w:iCs w:val="false"/>
                <w:caps w:val="false"/>
                <w:sz w:val="20"/>
                <w:szCs w:val="20"/>
              </w:rPr>
              <w:t xml:space="preserve">1730–60s</w:t>
            </w:r>
          </w:p>
        </w:tc>
        <w:tc>
          <w:tcPr>
            <w:tcW w:type="dxa" w:w="8280"/>
            <w:tcBorders>
              <w:top w:val="none" w:color="CCCCCC" w:sz="2"/>
              <w:left w:val="none" w:color="FFFFFF" w:sz="0"/>
              <w:bottom w:val="single" w:color="CCCCCC" w:sz="2"/>
              <w:right w:val="none" w:color="FFFFFF" w:sz="0"/>
            </w:tcBorders>
            <w:tcMar>
              <w:top w:type="dxa" w:w="60"/>
              <w:left w:type="dxa" w:w="0"/>
              <w:bottom w:type="dxa" w:w="60"/>
              <w:right w:type="dxa" w:w="0"/>
            </w:tcMar>
          </w:tcPr>
          <w:p>
            <w:pPr>
              <w:spacing w:after="0" w:before="0"/>
            </w:pPr>
            <w:r>
              <w:rPr>
                <w:rFonts w:ascii="Times New Roman" w:cs="Times New Roman" w:eastAsia="Times New Roman" w:hAnsi="Times New Roman"/>
                <w:b w:val="false"/>
                <w:bCs w:val="false"/>
                <w:i w:val="false"/>
                <w:iCs w:val="false"/>
                <w:caps w:val="false"/>
                <w:sz w:val="20"/>
                <w:szCs w:val="20"/>
              </w:rPr>
              <w:t xml:space="preserve">The Cherokee Overhill towns navigate French, British, and colonial pressure; Moytoy’s descendants hold and lose power across decades of war and forced treaty</w:t>
            </w:r>
          </w:p>
        </w:tc>
      </w:tr>
      <w:tr>
        <w:tc>
          <w:tcPr>
            <w:tcW w:type="dxa" w:w="1080"/>
            <w:tcBorders>
              <w:top w:val="none" w:color="CCCCCC" w:sz="2"/>
              <w:left w:val="none" w:color="FFFFFF" w:sz="0"/>
              <w:bottom w:val="single" w:color="CCCCCC" w:sz="2"/>
              <w:right w:val="none" w:color="FFFFFF" w:sz="0"/>
            </w:tcBorders>
            <w:tcMar>
              <w:top w:type="dxa" w:w="60"/>
              <w:left w:type="dxa" w:w="0"/>
              <w:bottom w:type="dxa" w:w="60"/>
              <w:right w:type="dxa" w:w="120"/>
            </w:tcMar>
          </w:tcPr>
          <w:p>
            <w:pPr>
              <w:spacing w:after="0" w:before="0"/>
            </w:pPr>
            <w:r>
              <w:rPr>
                <w:rFonts w:ascii="Times New Roman" w:cs="Times New Roman" w:eastAsia="Times New Roman" w:hAnsi="Times New Roman"/>
                <w:b/>
                <w:bCs/>
                <w:i w:val="false"/>
                <w:iCs w:val="false"/>
                <w:caps w:val="false"/>
                <w:sz w:val="20"/>
                <w:szCs w:val="20"/>
              </w:rPr>
              <w:t xml:space="preserve">1979</w:t>
            </w:r>
          </w:p>
        </w:tc>
        <w:tc>
          <w:tcPr>
            <w:tcW w:type="dxa" w:w="8280"/>
            <w:tcBorders>
              <w:top w:val="none" w:color="CCCCCC" w:sz="2"/>
              <w:left w:val="none" w:color="FFFFFF" w:sz="0"/>
              <w:bottom w:val="single" w:color="CCCCCC" w:sz="2"/>
              <w:right w:val="none" w:color="FFFFFF" w:sz="0"/>
            </w:tcBorders>
            <w:tcMar>
              <w:top w:type="dxa" w:w="60"/>
              <w:left w:type="dxa" w:w="0"/>
              <w:bottom w:type="dxa" w:w="60"/>
              <w:right w:type="dxa" w:w="0"/>
            </w:tcMar>
          </w:tcPr>
          <w:p>
            <w:pPr>
              <w:spacing w:after="0" w:before="0"/>
            </w:pPr>
            <w:r>
              <w:rPr>
                <w:rFonts w:ascii="Times New Roman" w:cs="Times New Roman" w:eastAsia="Times New Roman" w:hAnsi="Times New Roman"/>
                <w:b w:val="false"/>
                <w:bCs w:val="false"/>
                <w:i w:val="false"/>
                <w:iCs w:val="false"/>
                <w:caps w:val="false"/>
                <w:sz w:val="20"/>
                <w:szCs w:val="20"/>
              </w:rPr>
              <w:t xml:space="preserve">The TVA completes Tellico Dam. The Little Tennessee River floods. Moytoy’s grave and the Overhill towns disappear under sixty feet of water. A government file is marked CLOSED.</w:t>
            </w:r>
          </w:p>
        </w:tc>
      </w:tr>
      <w:tr>
        <w:tc>
          <w:tcPr>
            <w:tcW w:type="dxa" w:w="1080"/>
            <w:tcBorders>
              <w:top w:val="none" w:color="CCCCCC" w:sz="2"/>
              <w:left w:val="none" w:color="FFFFFF" w:sz="0"/>
              <w:bottom w:val="single" w:color="CCCCCC" w:sz="2"/>
              <w:right w:val="none" w:color="FFFFFF" w:sz="0"/>
            </w:tcBorders>
            <w:tcMar>
              <w:top w:type="dxa" w:w="60"/>
              <w:left w:type="dxa" w:w="0"/>
              <w:bottom w:type="dxa" w:w="60"/>
              <w:right w:type="dxa" w:w="120"/>
            </w:tcMar>
          </w:tcPr>
          <w:p>
            <w:pPr>
              <w:spacing w:after="0" w:before="0"/>
            </w:pPr>
            <w:r>
              <w:rPr>
                <w:rFonts w:ascii="Times New Roman" w:cs="Times New Roman" w:eastAsia="Times New Roman" w:hAnsi="Times New Roman"/>
                <w:b/>
                <w:bCs/>
                <w:i w:val="false"/>
                <w:iCs w:val="false"/>
                <w:caps w:val="false"/>
                <w:sz w:val="20"/>
                <w:szCs w:val="20"/>
              </w:rPr>
              <w:t xml:space="preserve">Feb 2026</w:t>
            </w:r>
          </w:p>
        </w:tc>
        <w:tc>
          <w:tcPr>
            <w:tcW w:type="dxa" w:w="8280"/>
            <w:tcBorders>
              <w:top w:val="none" w:color="CCCCCC" w:sz="2"/>
              <w:left w:val="none" w:color="FFFFFF" w:sz="0"/>
              <w:bottom w:val="single" w:color="CCCCCC" w:sz="2"/>
              <w:right w:val="none" w:color="FFFFFF" w:sz="0"/>
            </w:tcBorders>
            <w:tcMar>
              <w:top w:type="dxa" w:w="60"/>
              <w:left w:type="dxa" w:w="0"/>
              <w:bottom w:type="dxa" w:w="60"/>
              <w:right w:type="dxa" w:w="0"/>
            </w:tcMar>
          </w:tcPr>
          <w:p>
            <w:pPr>
              <w:spacing w:after="0" w:before="0"/>
            </w:pPr>
            <w:r>
              <w:rPr>
                <w:rFonts w:ascii="Times New Roman" w:cs="Times New Roman" w:eastAsia="Times New Roman" w:hAnsi="Times New Roman"/>
                <w:b w:val="false"/>
                <w:bCs w:val="false"/>
                <w:i w:val="false"/>
                <w:iCs w:val="false"/>
                <w:caps w:val="false"/>
                <w:sz w:val="20"/>
                <w:szCs w:val="20"/>
              </w:rPr>
              <w:t xml:space="preserve">Noquisiyi Mound, the sacred site of the 1730 coronation ceremony, is officially returned to the Eastern Band of Cherokee Indians after more than 200 years</w:t>
            </w:r>
          </w:p>
        </w:tc>
      </w:tr>
      <w:tr>
        <w:tc>
          <w:tcPr>
            <w:tcW w:type="dxa" w:w="1080"/>
            <w:tcBorders>
              <w:top w:val="none" w:color="CCCCCC" w:sz="2"/>
              <w:left w:val="none" w:color="FFFFFF" w:sz="0"/>
              <w:bottom w:val="single" w:color="CCCCCC" w:sz="2"/>
              <w:right w:val="none" w:color="FFFFFF" w:sz="0"/>
            </w:tcBorders>
            <w:tcMar>
              <w:top w:type="dxa" w:w="60"/>
              <w:left w:type="dxa" w:w="0"/>
              <w:bottom w:type="dxa" w:w="60"/>
              <w:right w:type="dxa" w:w="120"/>
            </w:tcMar>
          </w:tcPr>
          <w:p>
            <w:pPr>
              <w:spacing w:after="0" w:before="0"/>
            </w:pPr>
            <w:r>
              <w:rPr>
                <w:rFonts w:ascii="Times New Roman" w:cs="Times New Roman" w:eastAsia="Times New Roman" w:hAnsi="Times New Roman"/>
                <w:b/>
                <w:bCs/>
                <w:i w:val="false"/>
                <w:iCs w:val="false"/>
                <w:caps w:val="false"/>
                <w:sz w:val="20"/>
                <w:szCs w:val="20"/>
              </w:rPr>
              <w:t xml:space="preserve">Apr 3, 2026</w:t>
            </w:r>
          </w:p>
        </w:tc>
        <w:tc>
          <w:tcPr>
            <w:tcW w:type="dxa" w:w="8280"/>
            <w:tcBorders>
              <w:top w:val="none" w:color="CCCCCC" w:sz="2"/>
              <w:left w:val="none" w:color="FFFFFF" w:sz="0"/>
              <w:bottom w:val="single" w:color="CCCCCC" w:sz="2"/>
              <w:right w:val="none" w:color="FFFFFF" w:sz="0"/>
            </w:tcBorders>
            <w:tcMar>
              <w:top w:type="dxa" w:w="60"/>
              <w:left w:type="dxa" w:w="0"/>
              <w:bottom w:type="dxa" w:w="60"/>
              <w:right w:type="dxa" w:w="0"/>
            </w:tcMar>
          </w:tcPr>
          <w:p>
            <w:pPr>
              <w:spacing w:after="0" w:before="0"/>
            </w:pPr>
            <w:r>
              <w:rPr>
                <w:rFonts w:ascii="Times New Roman" w:cs="Times New Roman" w:eastAsia="Times New Roman" w:hAnsi="Times New Roman"/>
                <w:b w:val="false"/>
                <w:bCs w:val="false"/>
                <w:i w:val="false"/>
                <w:iCs w:val="false"/>
                <w:caps w:val="false"/>
                <w:sz w:val="20"/>
                <w:szCs w:val="20"/>
              </w:rPr>
              <w:t xml:space="preserve">Emperor of the Cherokee publishes, 296 years to the day after the Nequassee ceremony</w:t>
            </w:r>
          </w:p>
        </w:tc>
      </w:tr>
    </w:tbl>
    <w:p>
      <w:pPr>
        <w:spacing w:after="0" w:before="0"/>
      </w:pPr>
    </w:p>
    <w:p>
      <w:pPr>
        <w:pBdr>
          <w:bottom w:val="single" w:color="999999" w:sz="2" w:space="2"/>
        </w:pBdr>
        <w:spacing w:after="120" w:before="240"/>
      </w:pPr>
      <w:r>
        <w:rPr>
          <w:rFonts w:ascii="Times New Roman" w:cs="Times New Roman" w:eastAsia="Times New Roman" w:hAnsi="Times New Roman"/>
          <w:b/>
          <w:bCs/>
          <w:i w:val="false"/>
          <w:iCs w:val="false"/>
          <w:caps/>
          <w:sz w:val="20"/>
          <w:szCs w:val="20"/>
        </w:rPr>
        <w:t xml:space="preserve">Story Angles for Journalists</w:t>
      </w:r>
    </w:p>
    <w:p>
      <w:pPr>
        <w:spacing w:after="100" w:before="80"/>
      </w:pPr>
      <w:r>
        <w:rPr>
          <w:rFonts w:ascii="Times New Roman" w:cs="Times New Roman" w:eastAsia="Times New Roman" w:hAnsi="Times New Roman"/>
          <w:b/>
          <w:bCs/>
          <w:i w:val="false"/>
          <w:iCs w:val="false"/>
          <w:caps w:val="false"/>
          <w:sz w:val="22"/>
          <w:szCs w:val="22"/>
        </w:rPr>
        <w:t xml:space="preserve">The return.  </w:t>
      </w:r>
      <w:r>
        <w:rPr>
          <w:rFonts w:ascii="Times New Roman" w:cs="Times New Roman" w:eastAsia="Times New Roman" w:hAnsi="Times New Roman"/>
          <w:b w:val="false"/>
          <w:bCs w:val="false"/>
          <w:i w:val="false"/>
          <w:iCs w:val="false"/>
          <w:caps w:val="false"/>
          <w:sz w:val="22"/>
          <w:szCs w:val="22"/>
        </w:rPr>
        <w:t xml:space="preserve">A sacred Cherokee mound was returned to the Eastern Band in February 2026. A novel about the ceremony that happened there 296 years ago arrives weeks later, written by a descendant of the man who was crowned there. The timing is not coincidence; it is the shape of history reasserting itself.</w:t>
      </w:r>
    </w:p>
    <w:p>
      <w:pPr>
        <w:spacing w:after="100" w:before="80"/>
      </w:pPr>
      <w:r>
        <w:rPr>
          <w:rFonts w:ascii="Times New Roman" w:cs="Times New Roman" w:eastAsia="Times New Roman" w:hAnsi="Times New Roman"/>
          <w:b/>
          <w:bCs/>
          <w:i w:val="false"/>
          <w:iCs w:val="false"/>
          <w:caps w:val="false"/>
          <w:sz w:val="22"/>
          <w:szCs w:val="22"/>
        </w:rPr>
        <w:t xml:space="preserve">The erasure.  </w:t>
      </w:r>
      <w:r>
        <w:rPr>
          <w:rFonts w:ascii="Times New Roman" w:cs="Times New Roman" w:eastAsia="Times New Roman" w:hAnsi="Times New Roman"/>
          <w:b w:val="false"/>
          <w:bCs w:val="false"/>
          <w:i w:val="false"/>
          <w:iCs w:val="false"/>
          <w:caps w:val="false"/>
          <w:sz w:val="22"/>
          <w:szCs w:val="22"/>
        </w:rPr>
        <w:t xml:space="preserve">The Tellico Dam didn’t just flood land. It flooded graves, towns, and a history the federal government had already spent two centuries trying to close out. The novel ends with that file. It opens again on April 3.</w:t>
      </w:r>
    </w:p>
    <w:p>
      <w:pPr>
        <w:spacing w:after="100" w:before="80"/>
      </w:pPr>
      <w:r>
        <w:rPr>
          <w:rFonts w:ascii="Times New Roman" w:cs="Times New Roman" w:eastAsia="Times New Roman" w:hAnsi="Times New Roman"/>
          <w:b/>
          <w:bCs/>
          <w:i w:val="false"/>
          <w:iCs w:val="false"/>
          <w:caps w:val="false"/>
          <w:sz w:val="22"/>
          <w:szCs w:val="22"/>
        </w:rPr>
        <w:t xml:space="preserve">The author.  </w:t>
      </w:r>
      <w:r>
        <w:rPr>
          <w:rFonts w:ascii="Times New Roman" w:cs="Times New Roman" w:eastAsia="Times New Roman" w:hAnsi="Times New Roman"/>
          <w:b w:val="false"/>
          <w:bCs w:val="false"/>
          <w:i w:val="false"/>
          <w:iCs w:val="false"/>
          <w:caps w:val="false"/>
          <w:sz w:val="22"/>
          <w:szCs w:val="22"/>
        </w:rPr>
        <w:t xml:space="preserve">A man who was told his ancestors were savages, born near one of the largest pyramids in the Western Hemisphere, who followed a thread from a grade school lie to the historical record to a weeping at a mound in Franklin, NC, and wrote it all down.</w:t>
      </w:r>
    </w:p>
    <w:p>
      <w:pPr>
        <w:spacing w:after="100" w:before="80"/>
      </w:pPr>
      <w:r>
        <w:rPr>
          <w:rFonts w:ascii="Times New Roman" w:cs="Times New Roman" w:eastAsia="Times New Roman" w:hAnsi="Times New Roman"/>
          <w:b/>
          <w:bCs/>
          <w:i w:val="false"/>
          <w:iCs w:val="false"/>
          <w:caps w:val="false"/>
          <w:sz w:val="22"/>
          <w:szCs w:val="22"/>
        </w:rPr>
        <w:t xml:space="preserve">Language and memory.  </w:t>
      </w:r>
      <w:r>
        <w:rPr>
          <w:rFonts w:ascii="Times New Roman" w:cs="Times New Roman" w:eastAsia="Times New Roman" w:hAnsi="Times New Roman"/>
          <w:b w:val="false"/>
          <w:bCs w:val="false"/>
          <w:i w:val="false"/>
          <w:iCs w:val="false"/>
          <w:caps w:val="false"/>
          <w:sz w:val="22"/>
          <w:szCs w:val="22"/>
        </w:rPr>
        <w:t xml:space="preserve">Dinehart was taught Tsalagi as a child, largely lost it, and is still recovering it. The novel is part of that recovery, a way of passing what was nearly lost to his children before it is gone.</w:t>
      </w:r>
    </w:p>
    <w:p>
      <w:pPr>
        <w:spacing w:after="100" w:before="80"/>
      </w:pPr>
      <w:r>
        <w:rPr>
          <w:rFonts w:ascii="Times New Roman" w:cs="Times New Roman" w:eastAsia="Times New Roman" w:hAnsi="Times New Roman"/>
          <w:b/>
          <w:bCs/>
          <w:i w:val="false"/>
          <w:iCs w:val="false"/>
          <w:caps w:val="false"/>
          <w:sz w:val="22"/>
          <w:szCs w:val="22"/>
        </w:rPr>
        <w:t xml:space="preserve">The architecture of suppression.  </w:t>
      </w:r>
      <w:r>
        <w:rPr>
          <w:rFonts w:ascii="Times New Roman" w:cs="Times New Roman" w:eastAsia="Times New Roman" w:hAnsi="Times New Roman"/>
          <w:b w:val="false"/>
          <w:bCs w:val="false"/>
          <w:i w:val="false"/>
          <w:iCs w:val="false"/>
          <w:caps w:val="false"/>
          <w:sz w:val="22"/>
          <w:szCs w:val="22"/>
        </w:rPr>
        <w:t xml:space="preserve">The novel’s Record voice (colonial letters, TVA filings, acts of Congress) shows how erasure is not a single event but a sustained bureaucratic project, carried out in ordinary language, filed and marked closed. The novel asks: what does it mean to reopen that file?</w:t>
      </w:r>
    </w:p>
    <w:p>
      <w:pPr>
        <w:spacing w:after="0" w:before="0"/>
      </w:pPr>
    </w:p>
    <w:p>
      <w:pPr>
        <w:pBdr>
          <w:bottom w:val="single" w:color="999999" w:sz="2" w:space="2"/>
        </w:pBdr>
        <w:spacing w:after="120" w:before="240"/>
      </w:pPr>
      <w:r>
        <w:rPr>
          <w:rFonts w:ascii="Times New Roman" w:cs="Times New Roman" w:eastAsia="Times New Roman" w:hAnsi="Times New Roman"/>
          <w:b/>
          <w:bCs/>
          <w:i w:val="false"/>
          <w:iCs w:val="false"/>
          <w:caps/>
          <w:sz w:val="20"/>
          <w:szCs w:val="20"/>
        </w:rPr>
        <w:t xml:space="preserve">Comparable Titles</w:t>
      </w:r>
    </w:p>
    <w:p>
      <w:pPr>
        <w:spacing w:after="40" w:before="40"/>
      </w:pPr>
      <w:r>
        <w:rPr>
          <w:rFonts w:ascii="Times New Roman" w:cs="Times New Roman" w:eastAsia="Times New Roman" w:hAnsi="Times New Roman"/>
          <w:b w:val="false"/>
          <w:bCs w:val="false"/>
          <w:i/>
          <w:iCs/>
          <w:caps w:val="false"/>
          <w:sz w:val="22"/>
          <w:szCs w:val="22"/>
        </w:rPr>
        <w:t xml:space="preserve">Killers of the Flower Moon</w:t>
      </w:r>
      <w:r>
        <w:rPr>
          <w:rFonts w:ascii="Times New Roman" w:cs="Times New Roman" w:eastAsia="Times New Roman" w:hAnsi="Times New Roman"/>
          <w:b w:val="false"/>
          <w:bCs w:val="false"/>
          <w:i w:val="false"/>
          <w:iCs w:val="false"/>
          <w:caps w:val="false"/>
          <w:sz w:val="22"/>
          <w:szCs w:val="22"/>
        </w:rPr>
        <w:t xml:space="preserve">  ·  David Grann</w:t>
      </w:r>
    </w:p>
    <w:p>
      <w:pPr>
        <w:spacing w:after="40" w:before="40"/>
      </w:pPr>
      <w:r>
        <w:rPr>
          <w:rFonts w:ascii="Times New Roman" w:cs="Times New Roman" w:eastAsia="Times New Roman" w:hAnsi="Times New Roman"/>
          <w:b w:val="false"/>
          <w:bCs w:val="false"/>
          <w:i/>
          <w:iCs/>
          <w:caps w:val="false"/>
          <w:sz w:val="22"/>
          <w:szCs w:val="22"/>
        </w:rPr>
        <w:t xml:space="preserve">Braiding Sweetgrass</w:t>
      </w:r>
      <w:r>
        <w:rPr>
          <w:rFonts w:ascii="Times New Roman" w:cs="Times New Roman" w:eastAsia="Times New Roman" w:hAnsi="Times New Roman"/>
          <w:b w:val="false"/>
          <w:bCs w:val="false"/>
          <w:i w:val="false"/>
          <w:iCs w:val="false"/>
          <w:caps w:val="false"/>
          <w:sz w:val="22"/>
          <w:szCs w:val="22"/>
        </w:rPr>
        <w:t xml:space="preserve">  ·  Robin Wall Kimmerer</w:t>
      </w:r>
    </w:p>
    <w:p>
      <w:pPr>
        <w:spacing w:after="40" w:before="40"/>
      </w:pPr>
      <w:r>
        <w:rPr>
          <w:rFonts w:ascii="Times New Roman" w:cs="Times New Roman" w:eastAsia="Times New Roman" w:hAnsi="Times New Roman"/>
          <w:b w:val="false"/>
          <w:bCs w:val="false"/>
          <w:i/>
          <w:iCs/>
          <w:caps w:val="false"/>
          <w:sz w:val="22"/>
          <w:szCs w:val="22"/>
        </w:rPr>
        <w:t xml:space="preserve">Demon Copperhead</w:t>
      </w:r>
      <w:r>
        <w:rPr>
          <w:rFonts w:ascii="Times New Roman" w:cs="Times New Roman" w:eastAsia="Times New Roman" w:hAnsi="Times New Roman"/>
          <w:b w:val="false"/>
          <w:bCs w:val="false"/>
          <w:i w:val="false"/>
          <w:iCs w:val="false"/>
          <w:caps w:val="false"/>
          <w:sz w:val="22"/>
          <w:szCs w:val="22"/>
        </w:rPr>
        <w:t xml:space="preserve">  ·  Barbara Kingsolver</w:t>
      </w:r>
    </w:p>
    <w:p>
      <w:pPr>
        <w:spacing w:after="40" w:before="40"/>
      </w:pPr>
      <w:r>
        <w:rPr>
          <w:rFonts w:ascii="Times New Roman" w:cs="Times New Roman" w:eastAsia="Times New Roman" w:hAnsi="Times New Roman"/>
          <w:b w:val="false"/>
          <w:bCs w:val="false"/>
          <w:i/>
          <w:iCs/>
          <w:caps w:val="false"/>
          <w:sz w:val="22"/>
          <w:szCs w:val="22"/>
        </w:rPr>
        <w:t xml:space="preserve">The Invention of Wings</w:t>
      </w:r>
      <w:r>
        <w:rPr>
          <w:rFonts w:ascii="Times New Roman" w:cs="Times New Roman" w:eastAsia="Times New Roman" w:hAnsi="Times New Roman"/>
          <w:b w:val="false"/>
          <w:bCs w:val="false"/>
          <w:i w:val="false"/>
          <w:iCs w:val="false"/>
          <w:caps w:val="false"/>
          <w:sz w:val="22"/>
          <w:szCs w:val="22"/>
        </w:rPr>
        <w:t xml:space="preserve">  ·  Sue Monk Kidd</w:t>
      </w:r>
    </w:p>
    <w:p>
      <w:pPr>
        <w:spacing w:after="40" w:before="40"/>
      </w:pPr>
      <w:r>
        <w:rPr>
          <w:rFonts w:ascii="Times New Roman" w:cs="Times New Roman" w:eastAsia="Times New Roman" w:hAnsi="Times New Roman"/>
          <w:b w:val="false"/>
          <w:bCs w:val="false"/>
          <w:i/>
          <w:iCs/>
          <w:caps w:val="false"/>
          <w:sz w:val="22"/>
          <w:szCs w:val="22"/>
        </w:rPr>
        <w:t xml:space="preserve">Black Hawk: An Autobiography</w:t>
      </w:r>
      <w:r>
        <w:rPr>
          <w:rFonts w:ascii="Times New Roman" w:cs="Times New Roman" w:eastAsia="Times New Roman" w:hAnsi="Times New Roman"/>
          <w:b w:val="false"/>
          <w:bCs w:val="false"/>
          <w:i w:val="false"/>
          <w:iCs w:val="false"/>
          <w:caps w:val="false"/>
          <w:sz w:val="22"/>
          <w:szCs w:val="22"/>
        </w:rPr>
        <w:t xml:space="preserve">  ·  Donald Jackson, ed.</w:t>
      </w:r>
    </w:p>
    <w:p>
      <w:pPr>
        <w:spacing w:after="40" w:before="40"/>
      </w:pPr>
      <w:r>
        <w:rPr>
          <w:rFonts w:ascii="Times New Roman" w:cs="Times New Roman" w:eastAsia="Times New Roman" w:hAnsi="Times New Roman"/>
          <w:b w:val="false"/>
          <w:bCs w:val="false"/>
          <w:i/>
          <w:iCs/>
          <w:caps w:val="false"/>
          <w:sz w:val="22"/>
          <w:szCs w:val="22"/>
        </w:rPr>
        <w:t xml:space="preserve">House Made of Dawn</w:t>
      </w:r>
      <w:r>
        <w:rPr>
          <w:rFonts w:ascii="Times New Roman" w:cs="Times New Roman" w:eastAsia="Times New Roman" w:hAnsi="Times New Roman"/>
          <w:b w:val="false"/>
          <w:bCs w:val="false"/>
          <w:i w:val="false"/>
          <w:iCs w:val="false"/>
          <w:caps w:val="false"/>
          <w:sz w:val="22"/>
          <w:szCs w:val="22"/>
        </w:rPr>
        <w:t xml:space="preserve">  ·  N. Scott Momaday</w:t>
      </w:r>
    </w:p>
    <w:p>
      <w:pPr>
        <w:spacing w:after="0" w:before="0"/>
      </w:pPr>
    </w:p>
    <w:p>
      <w:pPr>
        <w:pBdr>
          <w:bottom w:val="single" w:color="999999" w:sz="2" w:space="2"/>
        </w:pBdr>
        <w:spacing w:after="120" w:before="240"/>
      </w:pPr>
      <w:r>
        <w:rPr>
          <w:rFonts w:ascii="Times New Roman" w:cs="Times New Roman" w:eastAsia="Times New Roman" w:hAnsi="Times New Roman"/>
          <w:b/>
          <w:bCs/>
          <w:i w:val="false"/>
          <w:iCs w:val="false"/>
          <w:caps/>
          <w:sz w:val="20"/>
          <w:szCs w:val="20"/>
        </w:rPr>
        <w:t xml:space="preserve">About the Author</w:t>
      </w:r>
    </w:p>
    <w:p>
      <w:pPr>
        <w:spacing w:after="120" w:before="0" w:line="240" w:lineRule="auto"/>
        <w:jc w:val="left"/>
      </w:pPr>
      <w:r>
        <w:rPr>
          <w:rFonts w:ascii="Times New Roman" w:cs="Times New Roman" w:eastAsia="Times New Roman" w:hAnsi="Times New Roman"/>
          <w:b w:val="false"/>
          <w:bCs w:val="false"/>
          <w:i w:val="false"/>
          <w:iCs w:val="false"/>
          <w:caps w:val="false"/>
          <w:sz w:val="22"/>
          <w:szCs w:val="22"/>
        </w:rPr>
        <w:t xml:space="preserve">Stephen E. Dinehart IV is a Cherokee descendant with documented lineage to Amatoya Moytoy of Tellico. He grew up hearing his mother’s stories of their heritage in art, language, food, and dance, while being told in school that his indigenous ancestors were “woodland savages” incapable of mathematics, science, or architecture. He was born not far from Aztalan, one of the largest pre-Columbian ceremonial mound complexes in North America, and didn’t learn this until he was 35.</w:t>
      </w:r>
    </w:p>
    <w:p>
      <w:pPr>
        <w:spacing w:after="120" w:before="0" w:line="240" w:lineRule="auto"/>
        <w:jc w:val="left"/>
      </w:pPr>
      <w:r>
        <w:rPr>
          <w:rFonts w:ascii="Times New Roman" w:cs="Times New Roman" w:eastAsia="Times New Roman" w:hAnsi="Times New Roman"/>
          <w:b w:val="false"/>
          <w:bCs w:val="false"/>
          <w:i w:val="false"/>
          <w:iCs w:val="false"/>
          <w:caps w:val="false"/>
          <w:sz w:val="22"/>
          <w:szCs w:val="22"/>
        </w:rPr>
        <w:t xml:space="preserve">Following that thread from Aztalan to the historical record to Moytoy, Dinehart spent years in the archives and in ceremony, learning what had been hidden. He wept at Noquisiyi Mound when he finally understood his connection to the place. That research became this novel. It is also how he passes what was nearly lost to his children.</w:t>
      </w:r>
    </w:p>
    <w:p>
      <w:pPr>
        <w:spacing w:after="160" w:before="0" w:line="240" w:lineRule="auto"/>
        <w:jc w:val="left"/>
      </w:pPr>
      <w:r>
        <w:rPr>
          <w:rFonts w:ascii="Times New Roman" w:cs="Times New Roman" w:eastAsia="Times New Roman" w:hAnsi="Times New Roman"/>
          <w:b w:val="false"/>
          <w:bCs w:val="false"/>
          <w:i w:val="false"/>
          <w:iCs w:val="false"/>
          <w:caps w:val="false"/>
          <w:sz w:val="22"/>
          <w:szCs w:val="22"/>
        </w:rPr>
        <w:t xml:space="preserve">Dinehart is an Assistant Professor of Film, Animation &amp; New Media at the University of Tampa. He coined the professional term “Narrative Designer” in 2006, a designation now standard across major game studios globally. He holds an MFA from USC, is a David Lynch Foundation Scholar, and is the founder of Wonderfilled Inc. and Alien Ranch Pictures. He is a single parent and a lifelong student of Tsalagi, taught to him in his youth and still being recovered.</w:t>
      </w:r>
    </w:p>
    <w:p>
      <w:pPr>
        <w:pBdr>
          <w:bottom w:val="single" w:color="999999" w:sz="2" w:space="2"/>
        </w:pBdr>
        <w:spacing w:after="120" w:before="240"/>
      </w:pPr>
      <w:r>
        <w:rPr>
          <w:rFonts w:ascii="Times New Roman" w:cs="Times New Roman" w:eastAsia="Times New Roman" w:hAnsi="Times New Roman"/>
          <w:b/>
          <w:bCs/>
          <w:i w:val="false"/>
          <w:iCs w:val="false"/>
          <w:caps/>
          <w:sz w:val="20"/>
          <w:szCs w:val="20"/>
        </w:rPr>
        <w:t xml:space="preserve">Selected Credentials</w:t>
      </w:r>
    </w:p>
    <w:p>
      <w:pPr>
        <w:pStyle w:val="ListParagraph"/>
        <w:numPr>
          <w:ilvl w:val="0"/>
          <w:numId w:val="2"/>
        </w:numPr>
        <w:spacing w:after="40" w:before="40"/>
      </w:pPr>
      <w:r>
        <w:rPr>
          <w:rFonts w:ascii="Times New Roman" w:cs="Times New Roman" w:eastAsia="Times New Roman" w:hAnsi="Times New Roman"/>
          <w:b w:val="false"/>
          <w:bCs w:val="false"/>
          <w:i w:val="false"/>
          <w:iCs w:val="false"/>
          <w:caps w:val="false"/>
          <w:sz w:val="20"/>
          <w:szCs w:val="20"/>
        </w:rPr>
        <w:t xml:space="preserve">Coined the professional term “Narrative Designer” (2006), now standard at major studios worldwide</w:t>
      </w:r>
    </w:p>
    <w:p>
      <w:pPr>
        <w:pStyle w:val="ListParagraph"/>
        <w:numPr>
          <w:ilvl w:val="0"/>
          <w:numId w:val="2"/>
        </w:numPr>
        <w:spacing w:after="40" w:before="40"/>
      </w:pPr>
      <w:r>
        <w:rPr>
          <w:rFonts w:ascii="Times New Roman" w:cs="Times New Roman" w:eastAsia="Times New Roman" w:hAnsi="Times New Roman"/>
          <w:b w:val="false"/>
          <w:bCs w:val="false"/>
          <w:i w:val="false"/>
          <w:iCs w:val="false"/>
          <w:caps w:val="false"/>
          <w:sz w:val="20"/>
          <w:szCs w:val="20"/>
        </w:rPr>
        <w:t xml:space="preserve">Golden Ticket Award, Best New Family Attraction, Mario Kart: Bowser’s Challenge (2023)</w:t>
      </w:r>
    </w:p>
    <w:p>
      <w:pPr>
        <w:pStyle w:val="ListParagraph"/>
        <w:numPr>
          <w:ilvl w:val="0"/>
          <w:numId w:val="2"/>
        </w:numPr>
        <w:spacing w:after="40" w:before="40"/>
      </w:pPr>
      <w:r>
        <w:rPr>
          <w:rFonts w:ascii="Times New Roman" w:cs="Times New Roman" w:eastAsia="Times New Roman" w:hAnsi="Times New Roman"/>
          <w:b w:val="false"/>
          <w:bCs w:val="false"/>
          <w:i w:val="false"/>
          <w:iCs w:val="false"/>
          <w:caps w:val="false"/>
          <w:sz w:val="20"/>
          <w:szCs w:val="20"/>
        </w:rPr>
        <w:t xml:space="preserve">THEA Outstanding Achievement, Super Nintendo World / Mario Kart: Koopa’s Challenge (2021)</w:t>
      </w:r>
    </w:p>
    <w:p>
      <w:pPr>
        <w:pStyle w:val="ListParagraph"/>
        <w:numPr>
          <w:ilvl w:val="0"/>
          <w:numId w:val="2"/>
        </w:numPr>
        <w:spacing w:after="40" w:before="40"/>
      </w:pPr>
      <w:r>
        <w:rPr>
          <w:rFonts w:ascii="Times New Roman" w:cs="Times New Roman" w:eastAsia="Times New Roman" w:hAnsi="Times New Roman"/>
          <w:b w:val="false"/>
          <w:bCs w:val="false"/>
          <w:i w:val="false"/>
          <w:iCs w:val="false"/>
          <w:caps w:val="false"/>
          <w:sz w:val="20"/>
          <w:szCs w:val="20"/>
        </w:rPr>
        <w:t xml:space="preserve">Manager of Software Development, Universal Creative, Super Nintendo World</w:t>
      </w:r>
    </w:p>
    <w:p>
      <w:pPr>
        <w:pStyle w:val="ListParagraph"/>
        <w:numPr>
          <w:ilvl w:val="0"/>
          <w:numId w:val="2"/>
        </w:numPr>
        <w:spacing w:after="40" w:before="40"/>
      </w:pPr>
      <w:r>
        <w:rPr>
          <w:rFonts w:ascii="Times New Roman" w:cs="Times New Roman" w:eastAsia="Times New Roman" w:hAnsi="Times New Roman"/>
          <w:b w:val="false"/>
          <w:bCs w:val="false"/>
          <w:i w:val="false"/>
          <w:iCs w:val="false"/>
          <w:caps w:val="false"/>
          <w:sz w:val="20"/>
          <w:szCs w:val="20"/>
        </w:rPr>
        <w:t xml:space="preserve">MFA, USC School of Cinematic Arts</w:t>
      </w:r>
    </w:p>
    <w:p>
      <w:pPr>
        <w:pStyle w:val="ListParagraph"/>
        <w:numPr>
          <w:ilvl w:val="0"/>
          <w:numId w:val="2"/>
        </w:numPr>
        <w:spacing w:after="40" w:before="40"/>
      </w:pPr>
      <w:r>
        <w:rPr>
          <w:rFonts w:ascii="Times New Roman" w:cs="Times New Roman" w:eastAsia="Times New Roman" w:hAnsi="Times New Roman"/>
          <w:b w:val="false"/>
          <w:bCs w:val="false"/>
          <w:i w:val="false"/>
          <w:iCs w:val="false"/>
          <w:caps w:val="false"/>
          <w:sz w:val="20"/>
          <w:szCs w:val="20"/>
        </w:rPr>
        <w:t xml:space="preserve">David Lynch Foundation Scholar; Electronic Arts Scholar; Gene Autry Foundation Scholar</w:t>
      </w:r>
    </w:p>
    <w:p>
      <w:pPr>
        <w:pStyle w:val="ListParagraph"/>
        <w:numPr>
          <w:ilvl w:val="0"/>
          <w:numId w:val="2"/>
        </w:numPr>
        <w:spacing w:after="40" w:before="40"/>
      </w:pPr>
      <w:r>
        <w:rPr>
          <w:rFonts w:ascii="Times New Roman" w:cs="Times New Roman" w:eastAsia="Times New Roman" w:hAnsi="Times New Roman"/>
          <w:b w:val="false"/>
          <w:bCs w:val="false"/>
          <w:i w:val="false"/>
          <w:iCs w:val="false"/>
          <w:caps w:val="false"/>
          <w:sz w:val="20"/>
          <w:szCs w:val="20"/>
        </w:rPr>
        <w:t xml:space="preserve">IEEE published researcher; IAAPA presenter on Fantasy-Reality Tension Maps</w:t>
      </w:r>
    </w:p>
    <w:p>
      <w:pPr>
        <w:pStyle w:val="ListParagraph"/>
        <w:numPr>
          <w:ilvl w:val="0"/>
          <w:numId w:val="2"/>
        </w:numPr>
        <w:spacing w:after="40" w:before="40"/>
      </w:pPr>
      <w:r>
        <w:rPr>
          <w:rFonts w:ascii="Times New Roman" w:cs="Times New Roman" w:eastAsia="Times New Roman" w:hAnsi="Times New Roman"/>
          <w:b w:val="false"/>
          <w:bCs w:val="false"/>
          <w:i w:val="false"/>
          <w:iCs w:val="false"/>
          <w:caps w:val="false"/>
          <w:sz w:val="20"/>
          <w:szCs w:val="20"/>
        </w:rPr>
        <w:t xml:space="preserve">ELANS Best Writing Nominee, Company of Heroes (2007)</w:t>
      </w:r>
    </w:p>
    <w:p>
      <w:pPr>
        <w:spacing w:after="0" w:before="0"/>
      </w:pPr>
    </w:p>
    <w:p>
      <w:pPr>
        <w:pBdr>
          <w:bottom w:val="single" w:color="999999" w:sz="2" w:space="2"/>
        </w:pBdr>
        <w:spacing w:after="120" w:before="240"/>
      </w:pPr>
      <w:r>
        <w:rPr>
          <w:rFonts w:ascii="Times New Roman" w:cs="Times New Roman" w:eastAsia="Times New Roman" w:hAnsi="Times New Roman"/>
          <w:b/>
          <w:bCs/>
          <w:i w:val="false"/>
          <w:iCs w:val="false"/>
          <w:caps/>
          <w:sz w:val="20"/>
          <w:szCs w:val="20"/>
        </w:rPr>
        <w:t xml:space="preserve">Historical Context</w:t>
      </w:r>
    </w:p>
    <w:p>
      <w:pPr>
        <w:spacing w:after="120" w:before="0" w:line="240" w:lineRule="auto"/>
        <w:jc w:val="left"/>
      </w:pPr>
      <w:r>
        <w:rPr>
          <w:rFonts w:ascii="Times New Roman" w:cs="Times New Roman" w:eastAsia="Times New Roman" w:hAnsi="Times New Roman"/>
          <w:b w:val="false"/>
          <w:bCs w:val="false"/>
          <w:i w:val="false"/>
          <w:iCs w:val="false"/>
          <w:caps w:val="false"/>
          <w:sz w:val="22"/>
          <w:szCs w:val="22"/>
        </w:rPr>
        <w:t xml:space="preserve">The Cherokee Overhill towns (Chota, Tellico, Tomotley, Mialoquo, and others along the Little Tennessee River in present-day eastern Tennessee) were the political and ceremonial heart of the Cherokee nation in the eighteenth century. Moytoy of Tellico was not a figurehead. He was a war chief and diplomat who understood the stakes of British alliance and the danger of British encroachment simultaneously.</w:t>
      </w:r>
    </w:p>
    <w:p>
      <w:pPr>
        <w:spacing w:after="120" w:before="0" w:line="240" w:lineRule="auto"/>
        <w:jc w:val="left"/>
      </w:pPr>
      <w:r>
        <w:rPr>
          <w:rFonts w:ascii="Times New Roman" w:cs="Times New Roman" w:eastAsia="Times New Roman" w:hAnsi="Times New Roman"/>
          <w:b w:val="false"/>
          <w:bCs w:val="false"/>
          <w:i w:val="false"/>
          <w:iCs w:val="false"/>
          <w:caps w:val="false"/>
          <w:sz w:val="22"/>
          <w:szCs w:val="22"/>
        </w:rPr>
        <w:t xml:space="preserve">The 1730 ceremony at Niquassee (present-day Franklin, NC), where Sir Alexander Cuming, an eccentric Scottish baronet operating largely without Crown authorization, presided over what he called a coronation, was understood by the Cherokee as a ceremony of alliance, not submission. The distinction would cost generations.</w:t>
      </w:r>
    </w:p>
    <w:p>
      <w:pPr>
        <w:spacing w:after="120" w:before="0" w:line="240" w:lineRule="auto"/>
        <w:jc w:val="left"/>
      </w:pPr>
      <w:r>
        <w:rPr>
          <w:rFonts w:ascii="Times New Roman" w:cs="Times New Roman" w:eastAsia="Times New Roman" w:hAnsi="Times New Roman"/>
          <w:b w:val="false"/>
          <w:bCs w:val="false"/>
          <w:i w:val="false"/>
          <w:iCs w:val="false"/>
          <w:caps w:val="false"/>
          <w:sz w:val="22"/>
          <w:szCs w:val="22"/>
        </w:rPr>
        <w:t xml:space="preserve">For two and a half centuries, the Overhill towns survived wars, forced treaties, and the Trail of Tears before being extinguished not by army or legislation but by water. In 1979, the Tennessee Valley Authority completed Tellico Dam over the sustained objection of the Eastern Band of Cherokee Indians, archaeologists, and the Endangered Species Act. The Little Tennessee flooded. Everything went under. A federal file was marked closed.</w:t>
      </w:r>
    </w:p>
    <w:p>
      <w:pPr>
        <w:spacing w:after="160" w:before="0" w:line="240" w:lineRule="auto"/>
        <w:jc w:val="left"/>
      </w:pPr>
      <w:r>
        <w:rPr>
          <w:rFonts w:ascii="Times New Roman" w:cs="Times New Roman" w:eastAsia="Times New Roman" w:hAnsi="Times New Roman"/>
          <w:b w:val="false"/>
          <w:bCs w:val="false"/>
          <w:i w:val="false"/>
          <w:iCs w:val="false"/>
          <w:caps w:val="false"/>
          <w:sz w:val="22"/>
          <w:szCs w:val="22"/>
        </w:rPr>
        <w:t xml:space="preserve">Noquisiyi Mound, the site of the 1730 ceremony in Franklin, NC, was not submerged. It has been held in private hands for over two centuries. On February 26, 2026, that changed.</w:t>
      </w:r>
    </w:p>
    <w:p>
      <w:pPr>
        <w:pBdr>
          <w:bottom w:val="single" w:color="999999" w:sz="2" w:space="2"/>
        </w:pBdr>
        <w:spacing w:after="120" w:before="240"/>
      </w:pPr>
      <w:r>
        <w:rPr>
          <w:rFonts w:ascii="Times New Roman" w:cs="Times New Roman" w:eastAsia="Times New Roman" w:hAnsi="Times New Roman"/>
          <w:b/>
          <w:bCs/>
          <w:i w:val="false"/>
          <w:iCs w:val="false"/>
          <w:caps/>
          <w:sz w:val="20"/>
          <w:szCs w:val="20"/>
        </w:rPr>
        <w:t xml:space="preserve">Critical and Cultural Context</w:t>
      </w:r>
    </w:p>
    <w:p>
      <w:pPr>
        <w:spacing w:after="120" w:before="0" w:line="240" w:lineRule="auto"/>
        <w:jc w:val="left"/>
      </w:pPr>
      <w:r>
        <w:rPr>
          <w:rFonts w:ascii="Times New Roman" w:cs="Times New Roman" w:eastAsia="Times New Roman" w:hAnsi="Times New Roman"/>
          <w:b w:val="false"/>
          <w:bCs w:val="false"/>
          <w:i w:val="false"/>
          <w:iCs w:val="false"/>
          <w:caps w:val="false"/>
          <w:sz w:val="22"/>
          <w:szCs w:val="22"/>
        </w:rPr>
        <w:t xml:space="preserve">The past decade has seen a significant renaissance in Indigenous-authored literature, from </w:t>
      </w:r>
      <w:r>
        <w:rPr>
          <w:rFonts w:ascii="Times New Roman" w:cs="Times New Roman" w:eastAsia="Times New Roman" w:hAnsi="Times New Roman"/>
          <w:b w:val="false"/>
          <w:bCs w:val="false"/>
          <w:i/>
          <w:iCs/>
          <w:caps w:val="false"/>
          <w:sz w:val="22"/>
          <w:szCs w:val="22"/>
        </w:rPr>
        <w:t xml:space="preserve">Killers of the Flower Moon</w:t>
      </w:r>
      <w:r>
        <w:rPr>
          <w:rFonts w:ascii="Times New Roman" w:cs="Times New Roman" w:eastAsia="Times New Roman" w:hAnsi="Times New Roman"/>
          <w:b w:val="false"/>
          <w:bCs w:val="false"/>
          <w:i w:val="false"/>
          <w:iCs w:val="false"/>
          <w:caps w:val="false"/>
          <w:sz w:val="22"/>
          <w:szCs w:val="22"/>
        </w:rPr>
        <w:t xml:space="preserve">’s Osage focus to the surge in Native-authored fiction following Tommy Orange’s </w:t>
      </w:r>
      <w:r>
        <w:rPr>
          <w:rFonts w:ascii="Times New Roman" w:cs="Times New Roman" w:eastAsia="Times New Roman" w:hAnsi="Times New Roman"/>
          <w:b w:val="false"/>
          <w:bCs w:val="false"/>
          <w:i/>
          <w:iCs/>
          <w:caps w:val="false"/>
          <w:sz w:val="22"/>
          <w:szCs w:val="22"/>
        </w:rPr>
        <w:t xml:space="preserve">There There</w:t>
      </w:r>
      <w:r>
        <w:rPr>
          <w:rFonts w:ascii="Times New Roman" w:cs="Times New Roman" w:eastAsia="Times New Roman" w:hAnsi="Times New Roman"/>
          <w:b w:val="false"/>
          <w:bCs w:val="false"/>
          <w:i w:val="false"/>
          <w:iCs w:val="false"/>
          <w:caps w:val="false"/>
          <w:sz w:val="22"/>
          <w:szCs w:val="22"/>
        </w:rPr>
        <w:t xml:space="preserve">. </w:t>
      </w:r>
      <w:r>
        <w:rPr>
          <w:rFonts w:ascii="Times New Roman" w:cs="Times New Roman" w:eastAsia="Times New Roman" w:hAnsi="Times New Roman"/>
          <w:b w:val="false"/>
          <w:bCs w:val="false"/>
          <w:i/>
          <w:iCs/>
          <w:caps w:val="false"/>
          <w:sz w:val="22"/>
          <w:szCs w:val="22"/>
        </w:rPr>
        <w:t xml:space="preserve">Emperor of the Cherokee</w:t>
      </w:r>
      <w:r>
        <w:rPr>
          <w:rFonts w:ascii="Times New Roman" w:cs="Times New Roman" w:eastAsia="Times New Roman" w:hAnsi="Times New Roman"/>
          <w:b w:val="false"/>
          <w:bCs w:val="false"/>
          <w:i w:val="false"/>
          <w:iCs w:val="false"/>
          <w:caps w:val="false"/>
          <w:sz w:val="22"/>
          <w:szCs w:val="22"/>
        </w:rPr>
        <w:t xml:space="preserve"> enters this conversation with something specific: a first-person ancestral claim, a historical record extensive enough to bear a novel’s weight, and a narrative architecture designed to hold colonial documents and oral witness simultaneously without collapsing one into the other.</w:t>
      </w:r>
    </w:p>
    <w:p>
      <w:pPr>
        <w:spacing w:after="120" w:before="0" w:line="240" w:lineRule="auto"/>
        <w:jc w:val="left"/>
      </w:pPr>
      <w:r>
        <w:rPr>
          <w:rFonts w:ascii="Times New Roman" w:cs="Times New Roman" w:eastAsia="Times New Roman" w:hAnsi="Times New Roman"/>
          <w:b w:val="false"/>
          <w:bCs w:val="false"/>
          <w:i w:val="false"/>
          <w:iCs w:val="false"/>
          <w:caps w:val="false"/>
          <w:sz w:val="22"/>
          <w:szCs w:val="22"/>
        </w:rPr>
        <w:t xml:space="preserve">The Tellico Dam controversy, in which the TVA flooded 38 miles of the Little Tennessee River over the documented objection of the Eastern Band of Cherokee Indians and despite a Supreme Court case (TVA v. Hill, 1978) that briefly halted construction under the Endangered Species Act, remains one of the most contested federal infrastructure decisions of the twentieth century. It has received little sustained literary attention. This novel provides it.</w:t>
      </w:r>
    </w:p>
    <w:p>
      <w:pPr>
        <w:spacing w:after="240" w:before="0" w:line="240" w:lineRule="auto"/>
        <w:jc w:val="left"/>
      </w:pPr>
      <w:r>
        <w:rPr>
          <w:rFonts w:ascii="Times New Roman" w:cs="Times New Roman" w:eastAsia="Times New Roman" w:hAnsi="Times New Roman"/>
          <w:b w:val="false"/>
          <w:bCs w:val="false"/>
          <w:i w:val="false"/>
          <w:iCs w:val="false"/>
          <w:caps w:val="false"/>
          <w:sz w:val="22"/>
          <w:szCs w:val="22"/>
        </w:rPr>
        <w:t xml:space="preserve">The return of Noquisiyi Mound in February 2026 marks a significant moment in Eastern Band land sovereignty and in the longer arc of federal land repatriation. </w:t>
      </w:r>
      <w:r>
        <w:rPr>
          <w:rFonts w:ascii="Times New Roman" w:cs="Times New Roman" w:eastAsia="Times New Roman" w:hAnsi="Times New Roman"/>
          <w:b w:val="false"/>
          <w:bCs w:val="false"/>
          <w:i/>
          <w:iCs/>
          <w:caps w:val="false"/>
          <w:sz w:val="22"/>
          <w:szCs w:val="22"/>
        </w:rPr>
        <w:t xml:space="preserve">Emperor of the Cherokee</w:t>
      </w:r>
      <w:r>
        <w:rPr>
          <w:rFonts w:ascii="Times New Roman" w:cs="Times New Roman" w:eastAsia="Times New Roman" w:hAnsi="Times New Roman"/>
          <w:b w:val="false"/>
          <w:bCs w:val="false"/>
          <w:i w:val="false"/>
          <w:iCs w:val="false"/>
          <w:caps w:val="false"/>
          <w:sz w:val="22"/>
          <w:szCs w:val="22"/>
        </w:rPr>
        <w:t xml:space="preserve"> is the first major work of fiction to engage directly with that site and its history.</w:t>
      </w:r>
    </w:p>
    <w:p>
      <w:pPr>
        <w:pBdr>
          <w:bottom w:val="single" w:color="000000" w:sz="4" w:space="2"/>
        </w:pBdr>
        <w:spacing w:after="160" w:before="40"/>
      </w:pPr>
    </w:p>
    <w:p>
      <w:pPr>
        <w:spacing w:after="80" w:before="0" w:line="240" w:lineRule="auto"/>
        <w:jc w:val="center"/>
      </w:pPr>
      <w:r>
        <w:rPr>
          <w:rFonts w:ascii="Times New Roman" w:cs="Times New Roman" w:eastAsia="Times New Roman" w:hAnsi="Times New Roman"/>
          <w:b/>
          <w:bCs/>
          <w:i w:val="false"/>
          <w:iCs w:val="false"/>
          <w:caps w:val="false"/>
          <w:sz w:val="22"/>
          <w:szCs w:val="22"/>
        </w:rPr>
        <w:t xml:space="preserve">###</w:t>
      </w:r>
    </w:p>
    <w:p>
      <w:pPr>
        <w:spacing w:after="0" w:before="0" w:line="240" w:lineRule="auto"/>
        <w:jc w:val="center"/>
      </w:pPr>
      <w:r>
        <w:rPr>
          <w:rFonts w:ascii="Times New Roman" w:cs="Times New Roman" w:eastAsia="Times New Roman" w:hAnsi="Times New Roman"/>
          <w:b w:val="false"/>
          <w:bCs w:val="false"/>
          <w:i w:val="false"/>
          <w:iCs w:val="false"/>
          <w:caps w:val="false"/>
          <w:sz w:val="20"/>
          <w:szCs w:val="20"/>
        </w:rPr>
        <w:t xml:space="preserve">press@emperorofthecherokee.com  ·  emperorofthecherokee.com</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0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2026-03-13T15:22:04.945Z</dcterms:created>
  <dcterms:modified xsi:type="dcterms:W3CDTF">2026-03-13T15:22:04.946Z</dcterms:modified>
</cp:coreProperties>
</file>

<file path=docProps/custom.xml><?xml version="1.0" encoding="utf-8"?>
<Properties xmlns="http://schemas.openxmlformats.org/officeDocument/2006/custom-properties" xmlns:vt="http://schemas.openxmlformats.org/officeDocument/2006/docPropsVTypes"/>
</file>